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  <w:t>正阳县2023年城乡居民基本医疗保险集中征缴工作督导协调小组成员名单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组长：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张卫国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县政府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成员：王亚军　县税务局副局长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2880" w:firstLineChars="9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王卫星　县医保局副局长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2880" w:firstLineChars="9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王军华  县财政局副局长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徐  琦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县公安局副局长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2880" w:firstLineChars="9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冯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伟  县民政局副局长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2880" w:firstLineChars="9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裴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建  县乡村振兴局副局长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2880" w:firstLineChars="9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周振华  县教育局副局长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2880" w:firstLineChars="9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黄鹏举　县医保中心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方超群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县融媒体中心副主任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2880" w:firstLineChars="9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崔晓伦  县政府督查室干部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协调小组下设办公室，办公室设在税务局，王亚军同志任办公室主任。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jk0MjJiOTFmYmYxOWJkZTVhMzViZWI5YmVkODMifQ=="/>
  </w:docVars>
  <w:rsids>
    <w:rsidRoot w:val="01716975"/>
    <w:rsid w:val="01716975"/>
    <w:rsid w:val="5C3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2023-12-18T01:46:00Z</dcterms:created>
  <dc:creator>百达翡丽</dc:creator>
  <cp:lastModifiedBy>百达翡丽</cp:lastModifiedBy>
  <dcterms:modified xsi:type="dcterms:W3CDTF">2023-12-18T01:49:42Z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14A2498A20F547648D32BF136830D592_11</vt:lpwstr>
  </property>
</Properties>
</file>