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正阳县</w:t>
      </w:r>
      <w:r>
        <w:rPr>
          <w:rFonts w:hint="eastAsia" w:ascii="黑体" w:hAnsi="黑体" w:eastAsia="黑体" w:cs="黑体"/>
          <w:b/>
          <w:bCs/>
          <w:sz w:val="44"/>
          <w:szCs w:val="44"/>
          <w:lang w:val="en-US" w:eastAsia="zh-CN"/>
        </w:rPr>
        <w:t>2022年</w:t>
      </w:r>
      <w:r>
        <w:rPr>
          <w:rFonts w:hint="eastAsia" w:ascii="黑体" w:hAnsi="黑体" w:eastAsia="黑体" w:cs="黑体"/>
          <w:b/>
          <w:bCs/>
          <w:sz w:val="44"/>
          <w:szCs w:val="44"/>
          <w:lang w:eastAsia="zh-CN"/>
        </w:rPr>
        <w:t>绿色种养循环农业试点</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补助对象遴选条件</w:t>
      </w:r>
    </w:p>
    <w:p>
      <w:pPr>
        <w:jc w:val="center"/>
        <w:rPr>
          <w:rFonts w:hint="eastAsia" w:ascii="黑体" w:hAnsi="黑体" w:eastAsia="黑体" w:cs="黑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根据河南省农业农村厅《关于做好绿色种养循环农业试点工作的通知》（豫农文</w:t>
      </w:r>
      <w:r>
        <w:rPr>
          <w:rFonts w:hint="eastAsia" w:ascii="仿宋" w:hAnsi="仿宋" w:eastAsia="仿宋" w:cs="仿宋"/>
          <w:b w:val="0"/>
          <w:bCs w:val="0"/>
          <w:i w:val="0"/>
          <w:iCs w:val="0"/>
          <w:sz w:val="32"/>
          <w:szCs w:val="32"/>
          <w:lang w:val="en-US" w:eastAsia="zh-CN"/>
        </w:rPr>
        <w:t>〔</w:t>
      </w:r>
      <w:r>
        <w:rPr>
          <w:rFonts w:hint="default" w:ascii="仿宋" w:hAnsi="仿宋" w:eastAsia="仿宋" w:cs="仿宋"/>
          <w:b w:val="0"/>
          <w:bCs w:val="0"/>
          <w:i w:val="0"/>
          <w:iCs w:val="0"/>
          <w:sz w:val="32"/>
          <w:szCs w:val="32"/>
          <w:lang w:val="en-US" w:eastAsia="zh-CN"/>
        </w:rPr>
        <w:t>2021</w:t>
      </w:r>
      <w:r>
        <w:rPr>
          <w:rFonts w:hint="eastAsia" w:ascii="仿宋" w:hAnsi="仿宋" w:eastAsia="仿宋" w:cs="仿宋"/>
          <w:b w:val="0"/>
          <w:bCs w:val="0"/>
          <w:i w:val="0"/>
          <w:iCs w:val="0"/>
          <w:sz w:val="32"/>
          <w:szCs w:val="32"/>
          <w:lang w:val="en-US" w:eastAsia="zh-CN"/>
        </w:rPr>
        <w:t>〕</w:t>
      </w:r>
      <w:r>
        <w:rPr>
          <w:rFonts w:hint="eastAsia" w:ascii="仿宋" w:hAnsi="仿宋" w:eastAsia="仿宋" w:cs="仿宋"/>
          <w:sz w:val="32"/>
          <w:szCs w:val="32"/>
          <w:lang w:eastAsia="zh-CN"/>
        </w:rPr>
        <w:t>265号）关于补助对象的要求，</w:t>
      </w:r>
      <w:r>
        <w:rPr>
          <w:rFonts w:hint="eastAsia" w:ascii="仿宋" w:hAnsi="仿宋" w:eastAsia="仿宋" w:cs="仿宋"/>
          <w:b w:val="0"/>
          <w:bCs w:val="0"/>
          <w:sz w:val="32"/>
          <w:szCs w:val="32"/>
          <w:lang w:eastAsia="zh-CN"/>
        </w:rPr>
        <w:t>重点遴选支持粪污收集、粪肥积造和还田为一体的全链条专业化服务组织。</w:t>
      </w:r>
      <w:r>
        <w:rPr>
          <w:rFonts w:hint="eastAsia" w:ascii="仿宋" w:hAnsi="仿宋" w:eastAsia="仿宋" w:cs="仿宋"/>
          <w:sz w:val="32"/>
          <w:szCs w:val="32"/>
          <w:lang w:eastAsia="zh-CN"/>
        </w:rPr>
        <w:t>支持对象主要是可提供粪污收集处理施用服务的注册畜禽粪污处置企业、注册农业合作社、专业化服务组织(不包括养殖企业)，以及种植面积超过500亩的种植大户、土地托管等新型经营主体。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为确保项目实施效果，通过五年的试点工作，扶持一批能够独立从事粪污收集、无害化处理、施用服务三个环节同时具备的一体化全链条企业，从而建立起种养紧密结合的机制，打通粪污还田最后“一公里”。结合正阳实际，确定正阳县</w:t>
      </w:r>
      <w:r>
        <w:rPr>
          <w:rFonts w:hint="eastAsia" w:ascii="仿宋" w:hAnsi="仿宋" w:eastAsia="仿宋" w:cs="仿宋"/>
          <w:sz w:val="32"/>
          <w:szCs w:val="32"/>
          <w:lang w:val="en-US" w:eastAsia="zh-CN"/>
        </w:rPr>
        <w:t>2022年绿色种养循环农业试点项目扶持对象条件如下：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有经营资质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经县级以上（含县级）市场监督管理部门登记注册的具备独立法人资格的社会化服务组织，证照齐全，且有独立的场所，有管理运作团队，能够常年进行商业化生产。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二、有畜禽粪污收集能力</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常年开展畜禽养殖场粪污收集；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有粪污收集车辆；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有粪污收集堆放和预处理场所；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4、建立有粪污收集台账。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b w:val="0"/>
          <w:bCs w:val="0"/>
          <w:sz w:val="32"/>
          <w:szCs w:val="32"/>
          <w:lang w:val="en-US" w:eastAsia="zh-CN"/>
        </w:rPr>
        <w:t>有畜禽粪污处理加工能力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1、有粪污处理设施，如：有标准化的场房、沼液塘等；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2、有粪污处理设备，如：自动翻抛机、铲车、筛分机、除臭机、沼液输送增压设备等；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3、有粪污加工输送能力，如：有机肥加工机械、包装、运输车辆、消纳管网等；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4、年处理加工收集粪污在2000吨以上，沼液在5万方以上。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四、有提供畜禽粪肥施用服务能力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1、有粪肥或沼液肥施用机械，如：撒粪机、沼液车等；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2、有提供粪肥或沼液肥还田技术服务的能力。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以上四个条件必须同时具备，缺一不可。在具体实施中，严格把关，确保遴选补助对象的程序公平、公正、公开，完全符合（豫农文</w:t>
      </w:r>
      <w:r>
        <w:rPr>
          <w:rFonts w:hint="eastAsia" w:ascii="仿宋" w:hAnsi="仿宋" w:eastAsia="仿宋" w:cs="仿宋"/>
          <w:b w:val="0"/>
          <w:bCs w:val="0"/>
          <w:i w:val="0"/>
          <w:iCs w:val="0"/>
          <w:sz w:val="32"/>
          <w:szCs w:val="32"/>
          <w:lang w:val="en-US" w:eastAsia="zh-CN"/>
        </w:rPr>
        <w:t>〔2021〕</w:t>
      </w:r>
      <w:r>
        <w:rPr>
          <w:rFonts w:hint="eastAsia" w:ascii="仿宋" w:hAnsi="仿宋" w:eastAsia="仿宋" w:cs="仿宋"/>
          <w:b w:val="0"/>
          <w:bCs w:val="0"/>
          <w:sz w:val="32"/>
          <w:szCs w:val="32"/>
          <w:lang w:val="en-US" w:eastAsia="zh-CN"/>
        </w:rPr>
        <w:t>265号）文件规定。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AB64D"/>
    <w:multiLevelType w:val="singleLevel"/>
    <w:tmpl w:val="0ACAB64D"/>
    <w:lvl w:ilvl="0" w:tentative="0">
      <w:start w:val="1"/>
      <w:numFmt w:val="decimal"/>
      <w:suff w:val="nothing"/>
      <w:lvlText w:val="%1、"/>
      <w:lvlJc w:val="left"/>
    </w:lvl>
  </w:abstractNum>
  <w:abstractNum w:abstractNumId="1">
    <w:nsid w:val="53301F7B"/>
    <w:multiLevelType w:val="singleLevel"/>
    <w:tmpl w:val="53301F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2Q1MDVmNzY2ZTA5OTc3YThmNjc5MjI0ZGFjMTQifQ=="/>
  </w:docVars>
  <w:rsids>
    <w:rsidRoot w:val="64E346B2"/>
    <w:rsid w:val="1B1336A1"/>
    <w:rsid w:val="33CC7178"/>
    <w:rsid w:val="361A0368"/>
    <w:rsid w:val="64E346B2"/>
    <w:rsid w:val="6C1C36F0"/>
    <w:rsid w:val="77EE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Lines="0" w:beforeAutospacing="0" w:afterLines="0" w:afterAutospacing="0" w:line="240" w:lineRule="auto"/>
      <w:ind w:firstLine="0" w:firstLineChars="0"/>
      <w:outlineLvl w:val="0"/>
    </w:pPr>
    <w:rPr>
      <w:rFonts w:eastAsia="宋体" w:asciiTheme="minorAscii" w:hAnsiTheme="minorAscii"/>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大标题"/>
    <w:basedOn w:val="3"/>
    <w:next w:val="1"/>
    <w:uiPriority w:val="0"/>
    <w:pPr>
      <w:widowControl/>
      <w:pBdr>
        <w:top w:val="none" w:color="auto" w:sz="0" w:space="0"/>
        <w:left w:val="none" w:color="auto" w:sz="0" w:space="0"/>
        <w:bottom w:val="none" w:color="auto" w:sz="0" w:space="0"/>
        <w:right w:val="none" w:color="auto" w:sz="0" w:space="0"/>
      </w:pBdr>
      <w:shd w:val="clear" w:fill="FFFFFF"/>
      <w:spacing w:after="168" w:line="17" w:lineRule="atLeast"/>
      <w:jc w:val="center"/>
      <w:outlineLvl w:val="1"/>
    </w:pPr>
    <w:rPr>
      <w:rFonts w:hint="eastAsia" w:ascii="Microsoft YaHei UI" w:hAnsi="Microsoft YaHei UI" w:eastAsia="宋体" w:cs="Microsoft YaHei UI"/>
      <w:bCs/>
      <w:color w:val="333333"/>
      <w:spacing w:val="7"/>
      <w:kern w:val="0"/>
      <w:sz w:val="44"/>
      <w:szCs w:val="26"/>
      <w:shd w:val="clear" w:fill="FFFFFF"/>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2022-07-25T08:28:00Z</dcterms:created>
  <dc:creator>百达翡丽</dc:creator>
  <cp:lastModifiedBy>百达翡丽</cp:lastModifiedBy>
  <dcterms:modified xsi:type="dcterms:W3CDTF">2022-07-25T08:29:00Z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A3DBE8DD4CE341CFBEAF73D59740421B</vt:lpwstr>
  </property>
</Properties>
</file>